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05C" w:rsidRDefault="001F205C"/>
    <w:p w:rsidR="001F205C" w:rsidRDefault="001F205C"/>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F205C" w:rsidRPr="001F205C" w:rsidTr="001F205C">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F205C" w:rsidRPr="001F205C" w:rsidRDefault="001F205C" w:rsidP="001F205C">
            <w:pPr>
              <w:spacing w:after="0" w:line="240" w:lineRule="atLeast"/>
              <w:rPr>
                <w:rFonts w:eastAsia="Times New Roman" w:cs="Times New Roman"/>
                <w:szCs w:val="24"/>
                <w:lang w:eastAsia="tr-TR"/>
              </w:rPr>
            </w:pPr>
            <w:r w:rsidRPr="001F205C">
              <w:rPr>
                <w:rFonts w:ascii="Arial" w:eastAsia="Times New Roman" w:hAnsi="Arial" w:cs="Arial"/>
                <w:sz w:val="16"/>
                <w:szCs w:val="16"/>
                <w:lang w:eastAsia="tr-TR"/>
              </w:rPr>
              <w:t>1 Mart 2020 PAZAR</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F205C" w:rsidRPr="001F205C" w:rsidRDefault="001F205C" w:rsidP="001F205C">
            <w:pPr>
              <w:spacing w:after="0" w:line="240" w:lineRule="atLeast"/>
              <w:jc w:val="center"/>
              <w:rPr>
                <w:rFonts w:eastAsia="Times New Roman" w:cs="Times New Roman"/>
                <w:szCs w:val="24"/>
                <w:lang w:eastAsia="tr-TR"/>
              </w:rPr>
            </w:pPr>
            <w:r w:rsidRPr="001F205C">
              <w:rPr>
                <w:rFonts w:ascii="Palatino Linotype" w:eastAsia="Times New Roman" w:hAnsi="Palatino Linotype" w:cs="Times New Roman"/>
                <w:b/>
                <w:bCs/>
                <w:color w:val="800000"/>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F205C" w:rsidRPr="001F205C" w:rsidRDefault="001F205C" w:rsidP="001F205C">
            <w:pPr>
              <w:spacing w:before="100" w:beforeAutospacing="1" w:after="100" w:afterAutospacing="1" w:line="240" w:lineRule="auto"/>
              <w:jc w:val="right"/>
              <w:rPr>
                <w:rFonts w:eastAsia="Times New Roman" w:cs="Times New Roman"/>
                <w:szCs w:val="24"/>
                <w:lang w:eastAsia="tr-TR"/>
              </w:rPr>
            </w:pPr>
            <w:proofErr w:type="gramStart"/>
            <w:r w:rsidRPr="001F205C">
              <w:rPr>
                <w:rFonts w:ascii="Arial" w:eastAsia="Times New Roman" w:hAnsi="Arial" w:cs="Arial"/>
                <w:sz w:val="16"/>
                <w:szCs w:val="16"/>
                <w:lang w:eastAsia="tr-TR"/>
              </w:rPr>
              <w:t>Sayı :</w:t>
            </w:r>
            <w:proofErr w:type="gramEnd"/>
            <w:r w:rsidRPr="001F205C">
              <w:rPr>
                <w:rFonts w:ascii="Arial" w:eastAsia="Times New Roman" w:hAnsi="Arial" w:cs="Arial"/>
                <w:sz w:val="16"/>
                <w:szCs w:val="16"/>
                <w:lang w:eastAsia="tr-TR"/>
              </w:rPr>
              <w:t xml:space="preserve"> 31055</w:t>
            </w:r>
          </w:p>
        </w:tc>
      </w:tr>
      <w:tr w:rsidR="001F205C" w:rsidRPr="001F205C" w:rsidTr="001F205C">
        <w:trPr>
          <w:trHeight w:val="480"/>
          <w:jc w:val="center"/>
        </w:trPr>
        <w:tc>
          <w:tcPr>
            <w:tcW w:w="8789" w:type="dxa"/>
            <w:gridSpan w:val="3"/>
            <w:tcMar>
              <w:top w:w="0" w:type="dxa"/>
              <w:left w:w="108" w:type="dxa"/>
              <w:bottom w:w="0" w:type="dxa"/>
              <w:right w:w="108" w:type="dxa"/>
            </w:tcMar>
            <w:vAlign w:val="center"/>
            <w:hideMark/>
          </w:tcPr>
          <w:p w:rsidR="001F205C" w:rsidRPr="001F205C" w:rsidRDefault="001F205C" w:rsidP="001F205C">
            <w:pPr>
              <w:spacing w:before="100" w:beforeAutospacing="1" w:after="100" w:afterAutospacing="1" w:line="240" w:lineRule="auto"/>
              <w:jc w:val="center"/>
              <w:rPr>
                <w:rFonts w:eastAsia="Times New Roman" w:cs="Times New Roman"/>
                <w:szCs w:val="24"/>
                <w:lang w:eastAsia="tr-TR"/>
              </w:rPr>
            </w:pPr>
            <w:r w:rsidRPr="001F205C">
              <w:rPr>
                <w:rFonts w:ascii="Arial" w:eastAsia="Times New Roman" w:hAnsi="Arial" w:cs="Arial"/>
                <w:b/>
                <w:bCs/>
                <w:color w:val="000080"/>
                <w:sz w:val="18"/>
                <w:szCs w:val="18"/>
                <w:lang w:eastAsia="tr-TR"/>
              </w:rPr>
              <w:t>YÖNETMELİK</w:t>
            </w:r>
          </w:p>
        </w:tc>
      </w:tr>
      <w:tr w:rsidR="001F205C" w:rsidRPr="001F205C" w:rsidTr="001F205C">
        <w:trPr>
          <w:trHeight w:val="480"/>
          <w:jc w:val="center"/>
        </w:trPr>
        <w:tc>
          <w:tcPr>
            <w:tcW w:w="8789" w:type="dxa"/>
            <w:gridSpan w:val="3"/>
            <w:tcMar>
              <w:top w:w="0" w:type="dxa"/>
              <w:left w:w="108" w:type="dxa"/>
              <w:bottom w:w="0" w:type="dxa"/>
              <w:right w:w="108" w:type="dxa"/>
            </w:tcMar>
            <w:vAlign w:val="center"/>
            <w:hideMark/>
          </w:tcPr>
          <w:p w:rsidR="001F205C" w:rsidRDefault="001F205C" w:rsidP="001F205C">
            <w:pPr>
              <w:spacing w:after="0" w:line="240" w:lineRule="atLeast"/>
              <w:ind w:firstLine="566"/>
              <w:jc w:val="both"/>
              <w:rPr>
                <w:rFonts w:eastAsia="Times New Roman" w:cs="Times New Roman"/>
                <w:sz w:val="18"/>
                <w:szCs w:val="18"/>
                <w:u w:val="single"/>
                <w:lang w:eastAsia="tr-TR"/>
              </w:rPr>
            </w:pPr>
          </w:p>
          <w:p w:rsidR="001F205C" w:rsidRPr="001F205C" w:rsidRDefault="001F205C" w:rsidP="001F205C">
            <w:pPr>
              <w:spacing w:after="0" w:line="240" w:lineRule="atLeast"/>
              <w:ind w:firstLine="566"/>
              <w:jc w:val="both"/>
              <w:rPr>
                <w:rFonts w:eastAsia="Times New Roman" w:cs="Times New Roman"/>
                <w:sz w:val="22"/>
                <w:u w:val="single"/>
                <w:lang w:eastAsia="tr-TR"/>
              </w:rPr>
            </w:pPr>
            <w:r w:rsidRPr="001F205C">
              <w:rPr>
                <w:rFonts w:eastAsia="Times New Roman" w:cs="Times New Roman"/>
                <w:sz w:val="18"/>
                <w:szCs w:val="18"/>
                <w:u w:val="single"/>
                <w:lang w:eastAsia="tr-TR"/>
              </w:rPr>
              <w:t>Enerji Piyasası Düzenleme Kurumundan:</w:t>
            </w:r>
          </w:p>
          <w:p w:rsidR="001F205C" w:rsidRDefault="001F205C" w:rsidP="001F205C">
            <w:pPr>
              <w:spacing w:after="0" w:line="240" w:lineRule="atLeast"/>
              <w:jc w:val="center"/>
              <w:rPr>
                <w:rFonts w:eastAsia="Times New Roman" w:cs="Times New Roman"/>
                <w:b/>
                <w:bCs/>
                <w:sz w:val="18"/>
                <w:szCs w:val="18"/>
                <w:lang w:eastAsia="tr-TR"/>
              </w:rPr>
            </w:pPr>
          </w:p>
          <w:p w:rsidR="001F205C" w:rsidRPr="001F205C" w:rsidRDefault="001F205C" w:rsidP="001F205C">
            <w:pPr>
              <w:spacing w:after="0" w:line="240" w:lineRule="atLeast"/>
              <w:jc w:val="center"/>
              <w:rPr>
                <w:rFonts w:eastAsia="Times New Roman" w:cs="Times New Roman"/>
                <w:b/>
                <w:bCs/>
                <w:sz w:val="19"/>
                <w:szCs w:val="19"/>
                <w:lang w:eastAsia="tr-TR"/>
              </w:rPr>
            </w:pPr>
            <w:r w:rsidRPr="001F205C">
              <w:rPr>
                <w:rFonts w:eastAsia="Times New Roman" w:cs="Times New Roman"/>
                <w:b/>
                <w:bCs/>
                <w:sz w:val="18"/>
                <w:szCs w:val="18"/>
                <w:lang w:eastAsia="tr-TR"/>
              </w:rPr>
              <w:t>ELEKTRİK ŞEBEKE YÖNETMELİĞİNDE DEĞİŞİKLİK</w:t>
            </w:r>
          </w:p>
          <w:p w:rsidR="001F205C" w:rsidRDefault="001F205C" w:rsidP="001F205C">
            <w:pPr>
              <w:spacing w:after="0" w:line="240" w:lineRule="atLeast"/>
              <w:jc w:val="center"/>
              <w:rPr>
                <w:rFonts w:eastAsia="Times New Roman" w:cs="Times New Roman"/>
                <w:b/>
                <w:bCs/>
                <w:sz w:val="18"/>
                <w:szCs w:val="18"/>
                <w:lang w:eastAsia="tr-TR"/>
              </w:rPr>
            </w:pPr>
            <w:r w:rsidRPr="001F205C">
              <w:rPr>
                <w:rFonts w:eastAsia="Times New Roman" w:cs="Times New Roman"/>
                <w:b/>
                <w:bCs/>
                <w:sz w:val="18"/>
                <w:szCs w:val="18"/>
                <w:lang w:eastAsia="tr-TR"/>
              </w:rPr>
              <w:t>YAPILMASINA DAİR YÖNETMELİK</w:t>
            </w:r>
          </w:p>
          <w:p w:rsidR="001F205C" w:rsidRPr="001F205C" w:rsidRDefault="001F205C" w:rsidP="001F205C">
            <w:pPr>
              <w:spacing w:after="0" w:line="240" w:lineRule="atLeast"/>
              <w:jc w:val="center"/>
              <w:rPr>
                <w:rFonts w:eastAsia="Times New Roman" w:cs="Times New Roman"/>
                <w:b/>
                <w:bCs/>
                <w:sz w:val="19"/>
                <w:szCs w:val="19"/>
                <w:lang w:eastAsia="tr-TR"/>
              </w:rPr>
            </w:pPr>
            <w:bookmarkStart w:id="0" w:name="_GoBack"/>
            <w:bookmarkEnd w:id="0"/>
          </w:p>
          <w:p w:rsidR="001F205C" w:rsidRPr="001F205C" w:rsidRDefault="001F205C" w:rsidP="001F205C">
            <w:pPr>
              <w:spacing w:after="0" w:line="240" w:lineRule="atLeast"/>
              <w:ind w:firstLine="566"/>
              <w:jc w:val="both"/>
              <w:rPr>
                <w:rFonts w:eastAsia="Times New Roman" w:cs="Times New Roman"/>
                <w:sz w:val="19"/>
                <w:szCs w:val="19"/>
                <w:lang w:eastAsia="tr-TR"/>
              </w:rPr>
            </w:pPr>
            <w:r w:rsidRPr="001F205C">
              <w:rPr>
                <w:rFonts w:eastAsia="Times New Roman" w:cs="Times New Roman"/>
                <w:b/>
                <w:bCs/>
                <w:sz w:val="18"/>
                <w:szCs w:val="18"/>
                <w:lang w:eastAsia="tr-TR"/>
              </w:rPr>
              <w:t>MADDE 1 –</w:t>
            </w:r>
            <w:r w:rsidRPr="001F205C">
              <w:rPr>
                <w:rFonts w:eastAsia="Times New Roman" w:cs="Times New Roman"/>
                <w:sz w:val="18"/>
                <w:szCs w:val="18"/>
                <w:lang w:eastAsia="tr-TR"/>
              </w:rPr>
              <w:t xml:space="preserve"> 28/5/2014 tarihli ve 29013 mükerrer sayılı Resmî </w:t>
            </w:r>
            <w:proofErr w:type="spellStart"/>
            <w:r w:rsidRPr="001F205C">
              <w:rPr>
                <w:rFonts w:eastAsia="Times New Roman" w:cs="Times New Roman"/>
                <w:sz w:val="18"/>
                <w:szCs w:val="18"/>
                <w:lang w:eastAsia="tr-TR"/>
              </w:rPr>
              <w:t>Gazete’de</w:t>
            </w:r>
            <w:proofErr w:type="spellEnd"/>
            <w:r w:rsidRPr="001F205C">
              <w:rPr>
                <w:rFonts w:eastAsia="Times New Roman" w:cs="Times New Roman"/>
                <w:sz w:val="18"/>
                <w:szCs w:val="18"/>
                <w:lang w:eastAsia="tr-TR"/>
              </w:rPr>
              <w:t xml:space="preserve"> yayımlanan Elektrik Şebeke Yönetmeliğinin </w:t>
            </w:r>
            <w:proofErr w:type="gramStart"/>
            <w:r w:rsidRPr="001F205C">
              <w:rPr>
                <w:rFonts w:eastAsia="Times New Roman" w:cs="Times New Roman"/>
                <w:sz w:val="18"/>
                <w:szCs w:val="18"/>
                <w:lang w:eastAsia="tr-TR"/>
              </w:rPr>
              <w:t>33 üncü</w:t>
            </w:r>
            <w:proofErr w:type="gramEnd"/>
            <w:r w:rsidRPr="001F205C">
              <w:rPr>
                <w:rFonts w:eastAsia="Times New Roman" w:cs="Times New Roman"/>
                <w:sz w:val="18"/>
                <w:szCs w:val="18"/>
                <w:lang w:eastAsia="tr-TR"/>
              </w:rPr>
              <w:t xml:space="preserve"> maddesinin ikinci fıkrası aşağıdaki şekilde değiştirilmiştir.</w:t>
            </w:r>
          </w:p>
          <w:p w:rsidR="001F205C" w:rsidRPr="001F205C" w:rsidRDefault="001F205C" w:rsidP="001F205C">
            <w:pPr>
              <w:spacing w:after="0" w:line="240" w:lineRule="atLeast"/>
              <w:ind w:firstLine="566"/>
              <w:jc w:val="both"/>
              <w:rPr>
                <w:rFonts w:eastAsia="Times New Roman" w:cs="Times New Roman"/>
                <w:sz w:val="19"/>
                <w:szCs w:val="19"/>
                <w:lang w:eastAsia="tr-TR"/>
              </w:rPr>
            </w:pPr>
            <w:r w:rsidRPr="001F205C">
              <w:rPr>
                <w:rFonts w:eastAsia="Times New Roman" w:cs="Times New Roman"/>
                <w:sz w:val="18"/>
                <w:szCs w:val="18"/>
                <w:lang w:eastAsia="tr-TR"/>
              </w:rPr>
              <w:t>“(2) TEİAŞ’ın bir dağıtım </w:t>
            </w:r>
            <w:proofErr w:type="spellStart"/>
            <w:r w:rsidRPr="001F205C">
              <w:rPr>
                <w:rFonts w:eastAsia="Times New Roman" w:cs="Times New Roman"/>
                <w:sz w:val="18"/>
                <w:szCs w:val="18"/>
                <w:lang w:eastAsia="tr-TR"/>
              </w:rPr>
              <w:t>barasına</w:t>
            </w:r>
            <w:proofErr w:type="spellEnd"/>
            <w:r w:rsidRPr="001F205C">
              <w:rPr>
                <w:rFonts w:eastAsia="Times New Roman" w:cs="Times New Roman"/>
                <w:sz w:val="18"/>
                <w:szCs w:val="18"/>
                <w:lang w:eastAsia="tr-TR"/>
              </w:rPr>
              <w:t> veya bu </w:t>
            </w:r>
            <w:proofErr w:type="spellStart"/>
            <w:r w:rsidRPr="001F205C">
              <w:rPr>
                <w:rFonts w:eastAsia="Times New Roman" w:cs="Times New Roman"/>
                <w:sz w:val="18"/>
                <w:szCs w:val="18"/>
                <w:lang w:eastAsia="tr-TR"/>
              </w:rPr>
              <w:t>baraya</w:t>
            </w:r>
            <w:proofErr w:type="spellEnd"/>
            <w:r w:rsidRPr="001F205C">
              <w:rPr>
                <w:rFonts w:eastAsia="Times New Roman" w:cs="Times New Roman"/>
                <w:sz w:val="18"/>
                <w:szCs w:val="18"/>
                <w:lang w:eastAsia="tr-TR"/>
              </w:rPr>
              <w:t> bağlı dağıtım sistemine bağlanacak üretim tesisinin ya da tesislerinin toplam kurulu gücü azami, ilgili baranın kısa devre arıza akım sınırının aşılmaması kaydıyla mezkûr </w:t>
            </w:r>
            <w:proofErr w:type="spellStart"/>
            <w:r w:rsidRPr="001F205C">
              <w:rPr>
                <w:rFonts w:eastAsia="Times New Roman" w:cs="Times New Roman"/>
                <w:sz w:val="18"/>
                <w:szCs w:val="18"/>
                <w:lang w:eastAsia="tr-TR"/>
              </w:rPr>
              <w:t>baradaki</w:t>
            </w:r>
            <w:proofErr w:type="spellEnd"/>
            <w:r w:rsidRPr="001F205C">
              <w:rPr>
                <w:rFonts w:eastAsia="Times New Roman" w:cs="Times New Roman"/>
                <w:sz w:val="18"/>
                <w:szCs w:val="18"/>
                <w:lang w:eastAsia="tr-TR"/>
              </w:rPr>
              <w:t> transformatörün cebri soğutmasız nominal görünür gücüne kadar olabilir. Kurulu gücü 50 MW ve üzeri olan üretim tesislerinin bağlantısı iletim seviyesinden yapılır. Transformatör merkezlerinde yer alan </w:t>
            </w:r>
            <w:proofErr w:type="spellStart"/>
            <w:r w:rsidRPr="001F205C">
              <w:rPr>
                <w:rFonts w:eastAsia="Times New Roman" w:cs="Times New Roman"/>
                <w:sz w:val="18"/>
                <w:szCs w:val="18"/>
                <w:lang w:eastAsia="tr-TR"/>
              </w:rPr>
              <w:t>fiderlerin</w:t>
            </w:r>
            <w:proofErr w:type="spellEnd"/>
            <w:r w:rsidRPr="001F205C">
              <w:rPr>
                <w:rFonts w:eastAsia="Times New Roman" w:cs="Times New Roman"/>
                <w:sz w:val="18"/>
                <w:szCs w:val="18"/>
                <w:lang w:eastAsia="tr-TR"/>
              </w:rPr>
              <w:t> ve transformatör kapasitesinin verimli kullanılması için; </w:t>
            </w:r>
            <w:proofErr w:type="spellStart"/>
            <w:r w:rsidRPr="001F205C">
              <w:rPr>
                <w:rFonts w:eastAsia="Times New Roman" w:cs="Times New Roman"/>
                <w:sz w:val="18"/>
                <w:szCs w:val="18"/>
                <w:lang w:eastAsia="tr-TR"/>
              </w:rPr>
              <w:t>fider</w:t>
            </w:r>
            <w:proofErr w:type="spellEnd"/>
            <w:r w:rsidRPr="001F205C">
              <w:rPr>
                <w:rFonts w:eastAsia="Times New Roman" w:cs="Times New Roman"/>
                <w:sz w:val="18"/>
                <w:szCs w:val="18"/>
                <w:lang w:eastAsia="tr-TR"/>
              </w:rPr>
              <w:t> tahsis talepleri, </w:t>
            </w:r>
            <w:proofErr w:type="spellStart"/>
            <w:r w:rsidRPr="001F205C">
              <w:rPr>
                <w:rFonts w:eastAsia="Times New Roman" w:cs="Times New Roman"/>
                <w:sz w:val="18"/>
                <w:szCs w:val="18"/>
                <w:lang w:eastAsia="tr-TR"/>
              </w:rPr>
              <w:t>fider</w:t>
            </w:r>
            <w:proofErr w:type="spellEnd"/>
            <w:r w:rsidRPr="001F205C">
              <w:rPr>
                <w:rFonts w:eastAsia="Times New Roman" w:cs="Times New Roman"/>
                <w:sz w:val="18"/>
                <w:szCs w:val="18"/>
                <w:lang w:eastAsia="tr-TR"/>
              </w:rPr>
              <w:t> yüklenme durumları göz önüne alınarak dağıtım lisansı sahibi tüzel kişiler tarafından yapılır. Teknik gereksinim halinde TEİAŞ tarafından transformatör merkezinde gerekli </w:t>
            </w:r>
            <w:proofErr w:type="spellStart"/>
            <w:r w:rsidRPr="001F205C">
              <w:rPr>
                <w:rFonts w:eastAsia="Times New Roman" w:cs="Times New Roman"/>
                <w:sz w:val="18"/>
                <w:szCs w:val="18"/>
                <w:lang w:eastAsia="tr-TR"/>
              </w:rPr>
              <w:t>fider</w:t>
            </w:r>
            <w:proofErr w:type="spellEnd"/>
            <w:r w:rsidRPr="001F205C">
              <w:rPr>
                <w:rFonts w:eastAsia="Times New Roman" w:cs="Times New Roman"/>
                <w:sz w:val="18"/>
                <w:szCs w:val="18"/>
                <w:lang w:eastAsia="tr-TR"/>
              </w:rPr>
              <w:t> değişikliği ve/veya düzenlemesi ilgili dağıtım lisans sahibi tüzel kişiye bildirilir. 10 </w:t>
            </w:r>
            <w:proofErr w:type="spellStart"/>
            <w:r w:rsidRPr="001F205C">
              <w:rPr>
                <w:rFonts w:eastAsia="Times New Roman" w:cs="Times New Roman"/>
                <w:sz w:val="18"/>
                <w:szCs w:val="18"/>
                <w:lang w:eastAsia="tr-TR"/>
              </w:rPr>
              <w:t>MW’ın</w:t>
            </w:r>
            <w:proofErr w:type="spellEnd"/>
            <w:r w:rsidRPr="001F205C">
              <w:rPr>
                <w:rFonts w:eastAsia="Times New Roman" w:cs="Times New Roman"/>
                <w:sz w:val="18"/>
                <w:szCs w:val="18"/>
                <w:lang w:eastAsia="tr-TR"/>
              </w:rPr>
              <w:t> altındaki üretim tesisleri için müstakil </w:t>
            </w:r>
            <w:proofErr w:type="spellStart"/>
            <w:r w:rsidRPr="001F205C">
              <w:rPr>
                <w:rFonts w:eastAsia="Times New Roman" w:cs="Times New Roman"/>
                <w:sz w:val="18"/>
                <w:szCs w:val="18"/>
                <w:lang w:eastAsia="tr-TR"/>
              </w:rPr>
              <w:t>fider</w:t>
            </w:r>
            <w:proofErr w:type="spellEnd"/>
            <w:r w:rsidRPr="001F205C">
              <w:rPr>
                <w:rFonts w:eastAsia="Times New Roman" w:cs="Times New Roman"/>
                <w:sz w:val="18"/>
                <w:szCs w:val="18"/>
                <w:lang w:eastAsia="tr-TR"/>
              </w:rPr>
              <w:t> tahsisi yapılmaz. Bununla beraber, 10 MW altında kurulu gücü olan ve en yakın bağlantı noktası bir transformatör merkezi olan üretim tesisleri için yakınlarda bağlanılabilecek dağıtım sistemine ait bir nokta olmaması, söz konusu transformatör merkezinde kullanılabilecek bir </w:t>
            </w:r>
            <w:proofErr w:type="spellStart"/>
            <w:r w:rsidRPr="001F205C">
              <w:rPr>
                <w:rFonts w:eastAsia="Times New Roman" w:cs="Times New Roman"/>
                <w:sz w:val="18"/>
                <w:szCs w:val="18"/>
                <w:lang w:eastAsia="tr-TR"/>
              </w:rPr>
              <w:t>fider</w:t>
            </w:r>
            <w:proofErr w:type="spellEnd"/>
            <w:r w:rsidRPr="001F205C">
              <w:rPr>
                <w:rFonts w:eastAsia="Times New Roman" w:cs="Times New Roman"/>
                <w:sz w:val="18"/>
                <w:szCs w:val="18"/>
                <w:lang w:eastAsia="tr-TR"/>
              </w:rPr>
              <w:t> bulunması, söz konusu </w:t>
            </w:r>
            <w:proofErr w:type="spellStart"/>
            <w:r w:rsidRPr="001F205C">
              <w:rPr>
                <w:rFonts w:eastAsia="Times New Roman" w:cs="Times New Roman"/>
                <w:sz w:val="18"/>
                <w:szCs w:val="18"/>
                <w:lang w:eastAsia="tr-TR"/>
              </w:rPr>
              <w:t>fiderin</w:t>
            </w:r>
            <w:proofErr w:type="spellEnd"/>
            <w:r w:rsidRPr="001F205C">
              <w:rPr>
                <w:rFonts w:eastAsia="Times New Roman" w:cs="Times New Roman"/>
                <w:sz w:val="18"/>
                <w:szCs w:val="18"/>
                <w:lang w:eastAsia="tr-TR"/>
              </w:rPr>
              <w:t> ileride dağıtım şirketlerince kullanılma olasılığının bulunmaması ve dağıtım şirketinin de uygun görüşü alınması halinde müstakil </w:t>
            </w:r>
            <w:proofErr w:type="spellStart"/>
            <w:r w:rsidRPr="001F205C">
              <w:rPr>
                <w:rFonts w:eastAsia="Times New Roman" w:cs="Times New Roman"/>
                <w:sz w:val="18"/>
                <w:szCs w:val="18"/>
                <w:lang w:eastAsia="tr-TR"/>
              </w:rPr>
              <w:t>fider</w:t>
            </w:r>
            <w:proofErr w:type="spellEnd"/>
            <w:r w:rsidRPr="001F205C">
              <w:rPr>
                <w:rFonts w:eastAsia="Times New Roman" w:cs="Times New Roman"/>
                <w:sz w:val="18"/>
                <w:szCs w:val="18"/>
                <w:lang w:eastAsia="tr-TR"/>
              </w:rPr>
              <w:t> tahsisi yapılabilir.”</w:t>
            </w:r>
          </w:p>
          <w:p w:rsidR="001F205C" w:rsidRPr="001F205C" w:rsidRDefault="001F205C" w:rsidP="001F205C">
            <w:pPr>
              <w:spacing w:after="0" w:line="240" w:lineRule="atLeast"/>
              <w:ind w:firstLine="566"/>
              <w:jc w:val="both"/>
              <w:rPr>
                <w:rFonts w:eastAsia="Times New Roman" w:cs="Times New Roman"/>
                <w:sz w:val="19"/>
                <w:szCs w:val="19"/>
                <w:lang w:eastAsia="tr-TR"/>
              </w:rPr>
            </w:pPr>
            <w:r w:rsidRPr="001F205C">
              <w:rPr>
                <w:rFonts w:eastAsia="Times New Roman" w:cs="Times New Roman"/>
                <w:b/>
                <w:bCs/>
                <w:sz w:val="18"/>
                <w:szCs w:val="18"/>
                <w:lang w:eastAsia="tr-TR"/>
              </w:rPr>
              <w:t>MADDE 2 –</w:t>
            </w:r>
            <w:r w:rsidRPr="001F205C">
              <w:rPr>
                <w:rFonts w:eastAsia="Times New Roman" w:cs="Times New Roman"/>
                <w:sz w:val="18"/>
                <w:szCs w:val="18"/>
                <w:lang w:eastAsia="tr-TR"/>
              </w:rPr>
              <w:t> Bu Yönetmelik yayımı tarihinde yürürlüğe girer.</w:t>
            </w:r>
          </w:p>
          <w:p w:rsidR="001F205C" w:rsidRPr="001F205C" w:rsidRDefault="001F205C" w:rsidP="001F205C">
            <w:pPr>
              <w:spacing w:after="0" w:line="240" w:lineRule="atLeast"/>
              <w:ind w:firstLine="566"/>
              <w:jc w:val="both"/>
              <w:rPr>
                <w:rFonts w:eastAsia="Times New Roman" w:cs="Times New Roman"/>
                <w:sz w:val="19"/>
                <w:szCs w:val="19"/>
                <w:lang w:eastAsia="tr-TR"/>
              </w:rPr>
            </w:pPr>
            <w:r w:rsidRPr="001F205C">
              <w:rPr>
                <w:rFonts w:eastAsia="Times New Roman" w:cs="Times New Roman"/>
                <w:b/>
                <w:bCs/>
                <w:sz w:val="18"/>
                <w:szCs w:val="18"/>
                <w:lang w:eastAsia="tr-TR"/>
              </w:rPr>
              <w:t>MADDE 3 –</w:t>
            </w:r>
            <w:r w:rsidRPr="001F205C">
              <w:rPr>
                <w:rFonts w:eastAsia="Times New Roman" w:cs="Times New Roman"/>
                <w:sz w:val="18"/>
                <w:szCs w:val="18"/>
                <w:lang w:eastAsia="tr-TR"/>
              </w:rPr>
              <w:t> Bu Yönetmelik hükümlerini Enerji Piyasası Düzenleme Kurumu Başkanı yürütür.</w:t>
            </w:r>
          </w:p>
          <w:p w:rsidR="001F205C" w:rsidRPr="001F205C" w:rsidRDefault="001F205C" w:rsidP="001F205C">
            <w:pPr>
              <w:spacing w:after="0" w:line="240" w:lineRule="atLeast"/>
              <w:jc w:val="center"/>
              <w:rPr>
                <w:rFonts w:eastAsia="Times New Roman" w:cs="Times New Roman"/>
                <w:sz w:val="19"/>
                <w:szCs w:val="19"/>
                <w:lang w:eastAsia="tr-TR"/>
              </w:rPr>
            </w:pPr>
            <w:r w:rsidRPr="001F205C">
              <w:rPr>
                <w:rFonts w:eastAsia="Times New Roman" w:cs="Times New Roman"/>
                <w:b/>
                <w:bCs/>
                <w:sz w:val="18"/>
                <w:szCs w:val="18"/>
                <w:lang w:val="en-GB" w:eastAsia="tr-TR"/>
              </w:rPr>
              <w:t> </w:t>
            </w:r>
          </w:p>
          <w:tbl>
            <w:tblPr>
              <w:tblW w:w="8505" w:type="dxa"/>
              <w:jc w:val="center"/>
              <w:tblCellMar>
                <w:left w:w="0" w:type="dxa"/>
                <w:right w:w="0" w:type="dxa"/>
              </w:tblCellMar>
              <w:tblLook w:val="04A0" w:firstRow="1" w:lastRow="0" w:firstColumn="1" w:lastColumn="0" w:noHBand="0" w:noVBand="1"/>
            </w:tblPr>
            <w:tblGrid>
              <w:gridCol w:w="437"/>
              <w:gridCol w:w="3817"/>
              <w:gridCol w:w="4251"/>
            </w:tblGrid>
            <w:tr w:rsidR="001F205C" w:rsidRPr="001F205C">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b/>
                      <w:bCs/>
                      <w:sz w:val="18"/>
                      <w:szCs w:val="18"/>
                      <w:lang w:eastAsia="tr-TR"/>
                    </w:rPr>
                    <w:t>Yönetmeliğin Yayımlandığı Resmî Gazete'nin</w:t>
                  </w:r>
                </w:p>
              </w:tc>
            </w:tr>
            <w:tr w:rsidR="001F205C" w:rsidRPr="001F205C">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b/>
                      <w:bCs/>
                      <w:sz w:val="18"/>
                      <w:szCs w:val="18"/>
                      <w:lang w:eastAsia="tr-TR"/>
                    </w:rPr>
                    <w:t>Sayısı</w:t>
                  </w:r>
                </w:p>
              </w:tc>
            </w:tr>
            <w:tr w:rsidR="001F205C" w:rsidRPr="001F205C">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28/5/2014</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29013 (Mükerrer)</w:t>
                  </w:r>
                </w:p>
              </w:tc>
            </w:tr>
            <w:tr w:rsidR="001F205C" w:rsidRPr="001F205C">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b/>
                      <w:bCs/>
                      <w:sz w:val="18"/>
                      <w:szCs w:val="18"/>
                      <w:lang w:eastAsia="tr-TR"/>
                    </w:rPr>
                    <w:t>Yönetmelikte Değişiklik Yapan Yönetmeliklerin Yayımlandığı Resmî Gazete'nin</w:t>
                  </w:r>
                </w:p>
              </w:tc>
            </w:tr>
            <w:tr w:rsidR="001F205C" w:rsidRPr="001F205C">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b/>
                      <w:bCs/>
                      <w:sz w:val="18"/>
                      <w:szCs w:val="18"/>
                      <w:lang w:eastAsia="tr-TR"/>
                    </w:rPr>
                    <w:t>Sayısı</w:t>
                  </w:r>
                </w:p>
              </w:tc>
            </w:tr>
            <w:tr w:rsidR="001F205C" w:rsidRPr="001F205C">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ind w:right="469"/>
                    <w:jc w:val="center"/>
                    <w:rPr>
                      <w:rFonts w:eastAsia="Times New Roman" w:cs="Times New Roman"/>
                      <w:szCs w:val="24"/>
                      <w:lang w:eastAsia="tr-TR"/>
                    </w:rPr>
                  </w:pPr>
                  <w:r w:rsidRPr="001F205C">
                    <w:rPr>
                      <w:rFonts w:eastAsia="Times New Roman" w:cs="Times New Roman"/>
                      <w:sz w:val="18"/>
                      <w:szCs w:val="18"/>
                      <w:lang w:eastAsia="tr-TR"/>
                    </w:rPr>
                    <w:t>12/7/2014</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29058</w:t>
                  </w:r>
                </w:p>
              </w:tc>
            </w:tr>
            <w:tr w:rsidR="001F205C" w:rsidRPr="001F205C">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ind w:right="469"/>
                    <w:jc w:val="center"/>
                    <w:rPr>
                      <w:rFonts w:eastAsia="Times New Roman" w:cs="Times New Roman"/>
                      <w:szCs w:val="24"/>
                      <w:lang w:eastAsia="tr-TR"/>
                    </w:rPr>
                  </w:pPr>
                  <w:r w:rsidRPr="001F205C">
                    <w:rPr>
                      <w:rFonts w:eastAsia="Times New Roman" w:cs="Times New Roman"/>
                      <w:sz w:val="18"/>
                      <w:szCs w:val="18"/>
                      <w:lang w:eastAsia="tr-TR"/>
                    </w:rPr>
                    <w:t>7/5/2015</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29348</w:t>
                  </w:r>
                </w:p>
              </w:tc>
            </w:tr>
            <w:tr w:rsidR="001F205C" w:rsidRPr="001F205C">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3-</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ind w:right="469"/>
                    <w:jc w:val="center"/>
                    <w:rPr>
                      <w:rFonts w:eastAsia="Times New Roman" w:cs="Times New Roman"/>
                      <w:szCs w:val="24"/>
                      <w:lang w:eastAsia="tr-TR"/>
                    </w:rPr>
                  </w:pPr>
                  <w:r w:rsidRPr="001F205C">
                    <w:rPr>
                      <w:rFonts w:eastAsia="Times New Roman" w:cs="Times New Roman"/>
                      <w:sz w:val="18"/>
                      <w:szCs w:val="18"/>
                      <w:lang w:eastAsia="tr-TR"/>
                    </w:rPr>
                    <w:t>30/7/2016</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29786</w:t>
                  </w:r>
                </w:p>
              </w:tc>
            </w:tr>
            <w:tr w:rsidR="001F205C" w:rsidRPr="001F205C">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4-</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ind w:right="469"/>
                    <w:jc w:val="center"/>
                    <w:rPr>
                      <w:rFonts w:eastAsia="Times New Roman" w:cs="Times New Roman"/>
                      <w:szCs w:val="24"/>
                      <w:lang w:eastAsia="tr-TR"/>
                    </w:rPr>
                  </w:pPr>
                  <w:r w:rsidRPr="001F205C">
                    <w:rPr>
                      <w:rFonts w:eastAsia="Times New Roman" w:cs="Times New Roman"/>
                      <w:sz w:val="18"/>
                      <w:szCs w:val="18"/>
                      <w:lang w:eastAsia="tr-TR"/>
                    </w:rPr>
                    <w:t>22/4/2017</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30046</w:t>
                  </w:r>
                </w:p>
              </w:tc>
            </w:tr>
            <w:tr w:rsidR="001F205C" w:rsidRPr="001F205C">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5-</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ind w:right="469"/>
                    <w:jc w:val="center"/>
                    <w:rPr>
                      <w:rFonts w:eastAsia="Times New Roman" w:cs="Times New Roman"/>
                      <w:szCs w:val="24"/>
                      <w:lang w:eastAsia="tr-TR"/>
                    </w:rPr>
                  </w:pPr>
                  <w:r w:rsidRPr="001F205C">
                    <w:rPr>
                      <w:rFonts w:eastAsia="Times New Roman" w:cs="Times New Roman"/>
                      <w:sz w:val="18"/>
                      <w:szCs w:val="18"/>
                      <w:lang w:eastAsia="tr-TR"/>
                    </w:rPr>
                    <w:t>26/11/2017</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F205C" w:rsidRPr="001F205C" w:rsidRDefault="001F205C" w:rsidP="001F205C">
                  <w:pPr>
                    <w:spacing w:before="100" w:beforeAutospacing="1" w:after="100" w:afterAutospacing="1" w:line="240" w:lineRule="atLeast"/>
                    <w:jc w:val="center"/>
                    <w:rPr>
                      <w:rFonts w:eastAsia="Times New Roman" w:cs="Times New Roman"/>
                      <w:szCs w:val="24"/>
                      <w:lang w:eastAsia="tr-TR"/>
                    </w:rPr>
                  </w:pPr>
                  <w:r w:rsidRPr="001F205C">
                    <w:rPr>
                      <w:rFonts w:eastAsia="Times New Roman" w:cs="Times New Roman"/>
                      <w:sz w:val="18"/>
                      <w:szCs w:val="18"/>
                      <w:lang w:eastAsia="tr-TR"/>
                    </w:rPr>
                    <w:t>30252</w:t>
                  </w:r>
                </w:p>
              </w:tc>
            </w:tr>
          </w:tbl>
          <w:p w:rsidR="001F205C" w:rsidRPr="001F205C" w:rsidRDefault="001F205C" w:rsidP="001F205C">
            <w:pPr>
              <w:spacing w:after="0" w:line="240" w:lineRule="auto"/>
              <w:rPr>
                <w:rFonts w:eastAsia="Times New Roman" w:cs="Times New Roman"/>
                <w:szCs w:val="24"/>
                <w:lang w:eastAsia="tr-TR"/>
              </w:rPr>
            </w:pPr>
          </w:p>
        </w:tc>
      </w:tr>
    </w:tbl>
    <w:p w:rsidR="00062912" w:rsidRDefault="00062912"/>
    <w:sectPr w:rsidR="0006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5C"/>
    <w:rsid w:val="00062912"/>
    <w:rsid w:val="001F2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69ED"/>
  <w15:chartTrackingRefBased/>
  <w15:docId w15:val="{B5676511-B3DB-4B6E-8A85-E083DCE1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dc:creator>
  <cp:keywords/>
  <dc:description/>
  <cp:lastModifiedBy>ATA</cp:lastModifiedBy>
  <cp:revision>1</cp:revision>
  <dcterms:created xsi:type="dcterms:W3CDTF">2020-03-02T10:57:00Z</dcterms:created>
  <dcterms:modified xsi:type="dcterms:W3CDTF">2020-03-02T10:58:00Z</dcterms:modified>
</cp:coreProperties>
</file>