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8137" w14:textId="77777777" w:rsidR="00676D0A" w:rsidRP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Ticaret Bakanlığı</w:t>
      </w:r>
    </w:p>
    <w:p w14:paraId="31A0C82A" w14:textId="77777777" w:rsidR="00676D0A" w:rsidRP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Anlaşmalar ve AB Genel Müdürlüğü</w:t>
      </w:r>
    </w:p>
    <w:p w14:paraId="002BBB0B" w14:textId="77777777" w:rsid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 Tek Pazar ve Yeşil Mutabakat Dairesi</w:t>
      </w:r>
    </w:p>
    <w:p w14:paraId="28B348EC" w14:textId="77777777" w:rsidR="000A3B27" w:rsidRDefault="000A3B27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03326AC" w14:textId="77777777" w:rsidR="00F432B7" w:rsidRDefault="000A3B27" w:rsidP="0064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BİRLİĞİ (AB)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ORMANSIZLAŞMANIN ÖNLENMESİ MEVZUATI</w:t>
      </w: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ULUSLARARASI </w:t>
      </w:r>
      <w:proofErr w:type="gramStart"/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İŞBİRLİĞİ</w:t>
      </w:r>
      <w:proofErr w:type="gramEnd"/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STRATEJİK ÇERÇEVESİ</w:t>
      </w:r>
    </w:p>
    <w:p w14:paraId="01015ADC" w14:textId="255F7359" w:rsidR="00463267" w:rsidRDefault="00F432B7" w:rsidP="0064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ÖZET</w:t>
      </w:r>
    </w:p>
    <w:p w14:paraId="2C07529C" w14:textId="77777777" w:rsidR="00463267" w:rsidRPr="00463267" w:rsidRDefault="00463267" w:rsidP="0064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Avrupa Komisyonu,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2023/1115 Sayılı Ormansızlaşmanın Önlenmesi Tüzüğü (EUDR)</w:t>
      </w:r>
      <w:r w:rsidRPr="0046326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AB'nin küresel orman kaybını durdurma taahhüdünü desteklemek ve sürdürülebilir,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zincirlerini teşvik etmek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 </w:t>
      </w:r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stratejik </w:t>
      </w:r>
      <w:proofErr w:type="gramStart"/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çerçevesi hazırlamıştır. </w:t>
      </w:r>
    </w:p>
    <w:p w14:paraId="2FF8F65A" w14:textId="77777777" w:rsidR="00463267" w:rsidRPr="00463267" w:rsidRDefault="00463267" w:rsidP="006446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 Hedefler ve Stratejiler:</w:t>
      </w:r>
    </w:p>
    <w:p w14:paraId="7D0FAB34" w14:textId="77777777" w:rsidR="00463267" w:rsidRPr="00463267" w:rsidRDefault="000A3B2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 ile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Mücadele:</w:t>
      </w:r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orman kaybını ve bozulmasını durdurmak amacıyla üretici ülkelerle </w:t>
      </w:r>
      <w:proofErr w:type="gramStart"/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yapacak, teknik destek, kapasite geliştirme ve finansal araçlar sunacaktır.</w:t>
      </w:r>
    </w:p>
    <w:p w14:paraId="5D27DD8A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Tedarik Zinciri Şeffaflığı: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zincirlerinin izlenebilirliğini artırarak orman koruma standartları teşvik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edilecektir.</w:t>
      </w:r>
    </w:p>
    <w:p w14:paraId="5D6AF217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Küçük Üreticilere Destek: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Küçük ölçekli üreticilere teknik eğitim, finansman ve sürdürülebilir tarım uygulamaları konusunda destek sağlanacaktır.</w:t>
      </w:r>
    </w:p>
    <w:p w14:paraId="6AD638F7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 Paydaşlı Diyalog: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Kamu otoriteleri, özel sektör, yerel topluluklar ve sivil toplum kuruluşlarıyla </w:t>
      </w:r>
      <w:proofErr w:type="gramStart"/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14:paraId="3754490D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Standartlar ve Regülasyonlar: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 ile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yüksek çevresel standartların yaygınlaştırılması için diğer büyük tüketici ülkelerle diyalog yürütülecektir.</w:t>
      </w:r>
    </w:p>
    <w:p w14:paraId="37835229" w14:textId="77777777" w:rsidR="00463267" w:rsidRPr="00463267" w:rsidRDefault="006446C8" w:rsidP="006446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Uygulama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Araçlar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14:paraId="43F3D1F3" w14:textId="77777777" w:rsidR="006446C8" w:rsidRPr="006446C8" w:rsidRDefault="006446C8" w:rsidP="006446C8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 ve Diyalog</w:t>
      </w:r>
    </w:p>
    <w:p w14:paraId="7BCA360F" w14:textId="77777777" w:rsidR="006446C8" w:rsidRPr="006446C8" w:rsidRDefault="006446C8" w:rsidP="0064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 ile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mücadeleyi küresel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işbirliğinin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parçası olarak ele almak için kapsamlı bir iletişim ve diyalog mekanizması geliştirmiştir:</w:t>
      </w:r>
    </w:p>
    <w:p w14:paraId="1788D50A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Düzey: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G7, G20, OECD, UNFCCC (Birleşmiş Milletler İklim Değişikliği Çerçeve Sözleşmesi), CBD (Biyolojik Çeşitlilik Sözleşmesi), FAO (Gıda ve Tarım Örgütü) ve WTO (Dünya Ticaret Örgütü) gibi uluslararası platformlarda diyaloglarını artıracaktır. Bu çerçevede,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 ile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küresel politikaların uyumlaştırılması ve daha yüksek çevresel standartların benimsenmesi için ortak çalışmalar yapılacaktır.</w:t>
      </w:r>
    </w:p>
    <w:p w14:paraId="77619036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Bölgesel ve İkili </w:t>
      </w:r>
      <w:proofErr w:type="gramStart"/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İşbirlikleri</w:t>
      </w:r>
      <w:proofErr w:type="gramEnd"/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Ormansızlaşmanın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politika diyaloglarının bir parçası haline getirilmesi için Yeşil Ortaklıklar ve teknik işbirliği projeleri desteklenecektir. AB, serbest ticaret anlaşmaları ve ekonomik ortaklık anlaşmaları kapsamında sürdürülebilirlik konularını ele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alarak,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resmi yetkilileri hem de sivil toplumu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sürece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dahil edecektir.</w:t>
      </w:r>
    </w:p>
    <w:p w14:paraId="74E64E91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 Paydaşlı Platform: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2020’de başlatılan "Dünyanın Ormanlarını Koruma ve Yeniden Kazanma Çok Paydaşlı Platformu" (</w:t>
      </w:r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Multi-</w:t>
      </w:r>
      <w:proofErr w:type="spellStart"/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Stakeholder</w:t>
      </w:r>
      <w:proofErr w:type="spellEnd"/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Platform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üretici ve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tüketici ülkelerden, sivil toplum kuruluşlarından ve sektör temsilcilerinden oluşmaktadır. Bu platform,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EUDR'nin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uygulanmasını desteklemek, izlenebilirlik, küçük ölçekli üreticiler ve diğer konularda iyi uygulamaları paylaşmak için düzenli olarak toplantılar yapacaktır.</w:t>
      </w:r>
    </w:p>
    <w:p w14:paraId="426100B2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Özel Girişimler</w:t>
      </w:r>
    </w:p>
    <w:p w14:paraId="1E64756C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sürdürülebilirlik hedeflerini desteklemek için belirli girişimlerle daha somut adımlar atmayı hedeflemektedir:</w:t>
      </w:r>
    </w:p>
    <w:p w14:paraId="0EF97206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2.1 Team Europe Girişimi (TEI)</w:t>
      </w:r>
    </w:p>
    <w:p w14:paraId="12981617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ve Üye Devletler tarafından başlatılan bu girişim,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 zincirlerine geçişi desteklemek için birkaç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operasyonel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bileşene sahiptir:</w:t>
      </w:r>
    </w:p>
    <w:p w14:paraId="6F9435E3" w14:textId="47476887" w:rsidR="006446C8" w:rsidRPr="00FF574A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TEI Merkezi: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ülkelere </w:t>
      </w:r>
      <w:r w:rsidR="00FF574A"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ormansızlaşmadan ari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 zincirleri konusunda bilgi sağlamak ve bu ülkelerle iletişim kurmak için bir platform işlevi görmektedir.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ve Üye Devletler tarafından yürütülen mevcut projeleri,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TEI’nin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hedefleriyle uyumlu yeni faaliyetlerle koordine eder.</w:t>
      </w:r>
    </w:p>
    <w:p w14:paraId="23E434E3" w14:textId="41EC8CB0" w:rsidR="006446C8" w:rsidRPr="00FF574A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Sürdürülebilir Tarım ve Orman Ekosistemleri Programı (SAFE):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TEI’nin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önemli unsurlarından biridir. Brezilya,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Ekvador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, Endonezya ve Zambiya gibi ülkelerde aktif olarak yürütülmektedir. 2024 itibarıyla Vietnam ve Kongo Demokratik Cumhuriyeti de programa dahil edilecektir.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SAFE, küçük üreticilerin sürdürülebilir ve </w:t>
      </w:r>
      <w:r w:rsidR="00FF574A"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 zincirlerine geçişine destek sağlar ve üretici ülkelerin AB pazarına erişimini kolaylaştıracak bir ortam oluşturmayı hedefler.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Üye Devletlerin katkılarıyla programın daha da genişletilmesi planlanmaktadır.</w:t>
      </w:r>
    </w:p>
    <w:p w14:paraId="04CD9FD7" w14:textId="77777777" w:rsidR="006446C8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Ormansızlaşmadan Ari</w:t>
      </w:r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Değer Zincirleri için Teknik Destek Aracı: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 ülkelere coğrafi konumlandırma, arazi kullanımı haritalama ve izlenebilirlik gibi teknik gereklilikler konusunda uzmanlık sunan esnek ve talebe dayalı bir araçtır.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küçük üreticilerin dahil edilmesine odaklanır.</w:t>
      </w:r>
    </w:p>
    <w:p w14:paraId="5F79B77F" w14:textId="77777777" w:rsidR="00201348" w:rsidRPr="00FF574A" w:rsidRDefault="00201348" w:rsidP="00201348">
      <w:pPr>
        <w:pStyle w:val="ListeParagra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816C69" w14:textId="77777777" w:rsidR="006446C8" w:rsidRPr="00201348" w:rsidRDefault="006446C8" w:rsidP="00201348">
      <w:pPr>
        <w:pStyle w:val="ListeParagraf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 Ortaklıkları (</w:t>
      </w:r>
      <w:proofErr w:type="spellStart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Forest</w:t>
      </w:r>
      <w:proofErr w:type="spellEnd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proofErr w:type="spellStart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Partnerships</w:t>
      </w:r>
      <w:proofErr w:type="spellEnd"/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0F28D9DB" w14:textId="363AB16E" w:rsidR="006446C8" w:rsidRPr="006446C8" w:rsidRDefault="006446C8" w:rsidP="002013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AB’nin Global Gateway Stratejisi kapsamında, orman koruma ve sürdürülebilir kalkınmayı desteklemek için üretici ülkelerle uzun vadeli ortaklıklar kurul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>makta, o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rman yönetimini geliştirmek ve 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ormansızlaşmanın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durdurulmasını sağlamak için yasallık ve sürdürülebilirlik standartlarına uygun iş modelleri oluşturul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maktadır.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AB, Guyana, Honduras, Kongo Cumhuriyeti, Uganda ve Zambiya gibi ülkelerle bu ortaklıkları hayata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geçirmiştir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D3A54A4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AB’nin Finansal ve Teknik Destek Araçları</w:t>
      </w:r>
    </w:p>
    <w:p w14:paraId="31CDE641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sürdürülebilir kalkınma hedeflerine ulaşmak için finansal ve teknik araçları kullanmayı taahhüt etmektedir:</w:t>
      </w:r>
    </w:p>
    <w:p w14:paraId="43071AD0" w14:textId="77777777" w:rsidR="006446C8" w:rsidRPr="006446C8" w:rsidRDefault="006446C8" w:rsidP="006446C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AB </w:t>
      </w:r>
      <w:r w:rsid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</w:t>
      </w: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Gözlemevi: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Orman kaybı ve tarımsal ticaretle ilgili bilimsel veriler sağlar. Bu araç, risk değerlendirmesi için bir destek platformudur.</w:t>
      </w:r>
    </w:p>
    <w:p w14:paraId="029C772E" w14:textId="77777777" w:rsidR="006446C8" w:rsidRPr="006446C8" w:rsidRDefault="006446C8" w:rsidP="006446C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Yatırım Bankası (EIB):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Sürdürülebilir orman yönetimi ve 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zincirlerine yatırım yapılması için finansman rehberleri ve destek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programları geliştirir. Örneğin, Fas’ta sürdürülebilir ormancılık için 100 milyon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Euro'luk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kredi sağlanmıştır.</w:t>
      </w:r>
    </w:p>
    <w:p w14:paraId="4794DC7A" w14:textId="77777777" w:rsidR="006446C8" w:rsidRPr="00201348" w:rsidRDefault="006446C8" w:rsidP="002013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Yardım ve Bilgi Değişim Programları: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ortak ülkelerle bilgi paylaşımı ve kapasite geliştirme için TAIEX ve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Twinning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araçlar kullanır.</w:t>
      </w:r>
    </w:p>
    <w:p w14:paraId="34DB1A14" w14:textId="77777777" w:rsidR="00D5239D" w:rsidRDefault="006446C8" w:rsidP="00D523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Bu araçlar, AB'nin sürdürülebilir değer zincirlerini teşvik etme ve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ormansızlaşmayı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durdurma hedeflerini gerçekleştirmek için uygulanacaktır. Programların başarısı, AB’nin üretici ülkelerle güçlü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teknik destek sağlama taahhüdüne dayanmaktadır.</w:t>
      </w:r>
    </w:p>
    <w:p w14:paraId="54842F01" w14:textId="77777777" w:rsidR="00D5239D" w:rsidRPr="00D5239D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523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Ülkelerin Risk Sınıflandırması Karşılaştırma (Benchmarking) Metodolojisi</w:t>
      </w:r>
    </w:p>
    <w:p w14:paraId="6E0C2CFA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Belgenin ek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bölümünde,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EUDR mevzuatı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kapsamında ülkelerin risk seviyelerini sınıflandırmak için geliştirdiği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karşılaştırma metodolojisi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tanımlanmaktadır. Bu sistem, ülkeleri düşük, standart veya yüksek risk seviyelerine göre sınıflandırmayı amaçla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maktadır.</w:t>
      </w:r>
    </w:p>
    <w:p w14:paraId="64265713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sınıflandırma ile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, operatörlerin gerekli durum tespit süreçlerini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kolaylaştırı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lması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yetkili otoritelerin uygunluğu etkin bir şekilde izlemelerine olanak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sağlanması amaçlanmaktadır. Sınıflandırma sistemi b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ilimsel kanıtlara ve uluslararası kabul görmüş verilere dayan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makta olup,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FAO’nun (BM Gıda ve Tarım Örgütü) Küresel Orman Kaynakları Değerlendirmesi temel veri kaynağıdır.</w:t>
      </w:r>
    </w:p>
    <w:p w14:paraId="2DE74F3E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Ülke Sınıflandırma Kriterleri</w:t>
      </w:r>
    </w:p>
    <w:p w14:paraId="1DD7C11C" w14:textId="77777777" w:rsidR="00201348" w:rsidRPr="00201348" w:rsidRDefault="00201348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Kantitatif Değerlendirme:</w:t>
      </w:r>
    </w:p>
    <w:p w14:paraId="791822DD" w14:textId="77777777" w:rsidR="00201348" w:rsidRPr="00201348" w:rsidRDefault="00D5239D" w:rsidP="002013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Ormansızlaşmanın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mutlak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(yıllık kaybedilen orman hektarı) ve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nispi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(yıllık orman örtüsü kaybı yüzdesi) ölçütleri değerlendirilir.</w:t>
      </w:r>
    </w:p>
    <w:p w14:paraId="2DFE745E" w14:textId="77777777" w:rsidR="00201348" w:rsidRPr="00201348" w:rsidRDefault="00201348" w:rsidP="002013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Küresel ortalamalar dikkate alınarak düşük riskli ülkeler belirlenir. Bu, kaynakların yüksek riskli bölgelerde yoğunlaştırılmasını sağlar.</w:t>
      </w:r>
    </w:p>
    <w:p w14:paraId="15C30C33" w14:textId="77777777" w:rsidR="00201348" w:rsidRPr="00201348" w:rsidRDefault="00201348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Kalitatif Değerlendirme:</w:t>
      </w:r>
    </w:p>
    <w:p w14:paraId="76B7B007" w14:textId="77777777" w:rsidR="00201348" w:rsidRPr="00201348" w:rsidRDefault="00201348" w:rsidP="0020134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Ülkelerin Paris Anlaşması kapsamındaki katkı beyanları, ulusal veya bölgesel yasalar ve veri şeffaflığı gibi unsurlar göz önünde bulundurulur.</w:t>
      </w:r>
    </w:p>
    <w:p w14:paraId="7FE902E3" w14:textId="77777777" w:rsidR="00201348" w:rsidRPr="00D5239D" w:rsidRDefault="00201348" w:rsidP="0020134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hakları, yerel toplulukların hakları ve doğal kaynakların korunmasına yönelik mevzuatın uygulanabilirliği incelenir.</w:t>
      </w:r>
    </w:p>
    <w:p w14:paraId="2920B288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Dinamik ve Şeffaf Süreç</w:t>
      </w:r>
    </w:p>
    <w:p w14:paraId="666DCCD1" w14:textId="77777777" w:rsidR="00201348" w:rsidRPr="00201348" w:rsidRDefault="00201348" w:rsidP="0020134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Sınıflandırma, düzenli olarak hem kantitatif hem de kalitatif verilerle güncellenir.</w:t>
      </w:r>
    </w:p>
    <w:p w14:paraId="1D575DB9" w14:textId="77777777" w:rsidR="00201348" w:rsidRPr="00D5239D" w:rsidRDefault="00201348" w:rsidP="0020134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FAO verilerindeki her beş yıllık güncelleme, sınıflandırmanın yeniden gözden geçirilmesini tetikler. İlk gözden geçirme 2026’da planlanmaktadır.</w:t>
      </w:r>
    </w:p>
    <w:p w14:paraId="3BB335FC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Yüksek Riskli Ülkeler</w:t>
      </w:r>
    </w:p>
    <w:p w14:paraId="652ACBBA" w14:textId="77777777" w:rsidR="00201348" w:rsidRPr="00201348" w:rsidRDefault="00201348" w:rsidP="002013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BM Güvenlik Konseyi veya AB Konseyi tarafından yaptırım uygulanan ülkeler, yüksek riskli olarak sınıflandırılabilir.</w:t>
      </w:r>
    </w:p>
    <w:p w14:paraId="35D68DD7" w14:textId="77777777" w:rsidR="00463267" w:rsidRPr="00D5239D" w:rsidRDefault="00201348" w:rsidP="006446C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Bu kategorideki ülkelerdeki değer zincirlerinde durum tespiti zorluklarına özel önem verilir.</w:t>
      </w:r>
    </w:p>
    <w:sectPr w:rsidR="00463267" w:rsidRPr="00D5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7E5C" w14:textId="77777777" w:rsidR="00084C72" w:rsidRDefault="00084C72" w:rsidP="00165343">
      <w:pPr>
        <w:spacing w:after="0" w:line="240" w:lineRule="auto"/>
      </w:pPr>
      <w:r>
        <w:separator/>
      </w:r>
    </w:p>
  </w:endnote>
  <w:endnote w:type="continuationSeparator" w:id="0">
    <w:p w14:paraId="719B74FF" w14:textId="77777777" w:rsidR="00084C72" w:rsidRDefault="00084C72" w:rsidP="0016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B070" w14:textId="77777777" w:rsidR="00084C72" w:rsidRDefault="00084C72" w:rsidP="00165343">
      <w:pPr>
        <w:spacing w:after="0" w:line="240" w:lineRule="auto"/>
      </w:pPr>
      <w:r>
        <w:separator/>
      </w:r>
    </w:p>
  </w:footnote>
  <w:footnote w:type="continuationSeparator" w:id="0">
    <w:p w14:paraId="06ADF688" w14:textId="77777777" w:rsidR="00084C72" w:rsidRDefault="00084C72" w:rsidP="00165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D1C"/>
    <w:multiLevelType w:val="multilevel"/>
    <w:tmpl w:val="52E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36D0F"/>
    <w:multiLevelType w:val="multilevel"/>
    <w:tmpl w:val="3DC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A18E4"/>
    <w:multiLevelType w:val="multilevel"/>
    <w:tmpl w:val="286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2DBA"/>
    <w:multiLevelType w:val="multilevel"/>
    <w:tmpl w:val="038C6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DF6521"/>
    <w:multiLevelType w:val="multilevel"/>
    <w:tmpl w:val="EC0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55E3A"/>
    <w:multiLevelType w:val="multilevel"/>
    <w:tmpl w:val="1F8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056B3"/>
    <w:multiLevelType w:val="multilevel"/>
    <w:tmpl w:val="AF2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1724B"/>
    <w:multiLevelType w:val="hybridMultilevel"/>
    <w:tmpl w:val="0A1AC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1489"/>
    <w:multiLevelType w:val="multilevel"/>
    <w:tmpl w:val="FA4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F5352"/>
    <w:multiLevelType w:val="multilevel"/>
    <w:tmpl w:val="77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B52C3"/>
    <w:multiLevelType w:val="multilevel"/>
    <w:tmpl w:val="AAA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86F2A"/>
    <w:multiLevelType w:val="multilevel"/>
    <w:tmpl w:val="BAC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173AF"/>
    <w:multiLevelType w:val="multilevel"/>
    <w:tmpl w:val="B55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54080"/>
    <w:multiLevelType w:val="multilevel"/>
    <w:tmpl w:val="4A2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879D2"/>
    <w:multiLevelType w:val="multilevel"/>
    <w:tmpl w:val="7B6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32187"/>
    <w:multiLevelType w:val="multilevel"/>
    <w:tmpl w:val="4E5A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15805"/>
    <w:multiLevelType w:val="multilevel"/>
    <w:tmpl w:val="E7B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16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  <w:num w:numId="14">
    <w:abstractNumId w:val="14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7"/>
    <w:rsid w:val="00084C72"/>
    <w:rsid w:val="000A3B27"/>
    <w:rsid w:val="00165343"/>
    <w:rsid w:val="00201348"/>
    <w:rsid w:val="00463267"/>
    <w:rsid w:val="006446C8"/>
    <w:rsid w:val="00676D0A"/>
    <w:rsid w:val="008137C9"/>
    <w:rsid w:val="00D5239D"/>
    <w:rsid w:val="00F32C7B"/>
    <w:rsid w:val="00F432B7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06FFC"/>
  <w15:chartTrackingRefBased/>
  <w15:docId w15:val="{6BA57513-78F1-46FB-A603-FF1C758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63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4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326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3267"/>
    <w:rPr>
      <w:b/>
      <w:bCs/>
    </w:rPr>
  </w:style>
  <w:style w:type="character" w:styleId="Vurgu">
    <w:name w:val="Emphasis"/>
    <w:basedOn w:val="VarsaylanParagrafYazTipi"/>
    <w:uiPriority w:val="20"/>
    <w:qFormat/>
    <w:rsid w:val="00463267"/>
    <w:rPr>
      <w:i/>
      <w:iCs/>
    </w:rPr>
  </w:style>
  <w:style w:type="paragraph" w:styleId="ListeParagraf">
    <w:name w:val="List Paragraph"/>
    <w:basedOn w:val="Normal"/>
    <w:uiPriority w:val="34"/>
    <w:qFormat/>
    <w:rsid w:val="006446C8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6446C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4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Berrak Taşyürek</dc:creator>
  <cp:keywords/>
  <dc:description/>
  <cp:lastModifiedBy>Elif Berrak Taşyürek</cp:lastModifiedBy>
  <cp:revision>2</cp:revision>
  <dcterms:created xsi:type="dcterms:W3CDTF">2024-12-12T11:02:00Z</dcterms:created>
  <dcterms:modified xsi:type="dcterms:W3CDTF">2024-12-12T11:02:00Z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user=11398124414</vt:lpwstr>
  </property>
  <property fmtid="{D5CDD505-2E9C-101B-9397-08002B2CF9AE}" pid="4" name="geodilabeltime">
    <vt:lpwstr>datetime=2024-12-06T13:38:09.243Z</vt:lpwstr>
  </property>
</Properties>
</file>